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057" w:type="dxa"/>
        <w:tblInd w:w="-289" w:type="dxa"/>
        <w:tblLook w:val="04A0" w:firstRow="1" w:lastRow="0" w:firstColumn="1" w:lastColumn="0" w:noHBand="0" w:noVBand="1"/>
      </w:tblPr>
      <w:tblGrid>
        <w:gridCol w:w="1441"/>
        <w:gridCol w:w="1115"/>
        <w:gridCol w:w="1375"/>
        <w:gridCol w:w="1271"/>
        <w:gridCol w:w="1521"/>
        <w:gridCol w:w="879"/>
        <w:gridCol w:w="3455"/>
      </w:tblGrid>
      <w:tr w:rsidR="006941D2" w:rsidRPr="006941D2" w:rsidTr="002E76A3">
        <w:trPr>
          <w:trHeight w:val="284"/>
        </w:trPr>
        <w:tc>
          <w:tcPr>
            <w:tcW w:w="1441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Ciclo escolar </w:t>
            </w:r>
          </w:p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2020-21</w:t>
            </w:r>
          </w:p>
        </w:tc>
        <w:tc>
          <w:tcPr>
            <w:tcW w:w="9616" w:type="dxa"/>
            <w:gridSpan w:val="6"/>
            <w:shd w:val="clear" w:color="auto" w:fill="FFF2CC" w:themeFill="accent4" w:themeFillTint="33"/>
          </w:tcPr>
          <w:p w:rsidR="006941D2" w:rsidRPr="006941D2" w:rsidRDefault="006941D2" w:rsidP="006941D2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Planeación semanal</w:t>
            </w:r>
          </w:p>
        </w:tc>
      </w:tr>
      <w:tr w:rsidR="006941D2" w:rsidRPr="006941D2" w:rsidTr="002E76A3">
        <w:trPr>
          <w:trHeight w:val="251"/>
        </w:trPr>
        <w:tc>
          <w:tcPr>
            <w:tcW w:w="1441" w:type="dxa"/>
            <w:vMerge w:val="restart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Nivel educativo</w:t>
            </w:r>
          </w:p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>Secundaria</w:t>
            </w:r>
          </w:p>
        </w:tc>
        <w:tc>
          <w:tcPr>
            <w:tcW w:w="111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Grado escolar</w:t>
            </w:r>
          </w:p>
        </w:tc>
        <w:tc>
          <w:tcPr>
            <w:tcW w:w="137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 xml:space="preserve">Primer grado </w:t>
            </w:r>
          </w:p>
        </w:tc>
        <w:tc>
          <w:tcPr>
            <w:tcW w:w="1271" w:type="dxa"/>
            <w:vMerge w:val="restart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Asignatura </w:t>
            </w:r>
          </w:p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GEOGRAFÍA </w:t>
            </w:r>
          </w:p>
        </w:tc>
        <w:tc>
          <w:tcPr>
            <w:tcW w:w="1521" w:type="dxa"/>
            <w:vMerge w:val="restart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</w:p>
          <w:p w:rsidR="006941D2" w:rsidRPr="002E76A3" w:rsidRDefault="002E76A3" w:rsidP="002E76A3">
            <w:pPr>
              <w:rPr>
                <w:rFonts w:cstheme="minorHAnsi"/>
                <w:b/>
                <w:sz w:val="20"/>
                <w:szCs w:val="18"/>
              </w:rPr>
            </w:pPr>
            <w:r w:rsidRPr="002E76A3">
              <w:rPr>
                <w:rFonts w:cstheme="minorHAnsi"/>
                <w:b/>
                <w:sz w:val="20"/>
                <w:szCs w:val="18"/>
              </w:rPr>
              <w:t>Tercer trimestre</w:t>
            </w:r>
          </w:p>
        </w:tc>
        <w:tc>
          <w:tcPr>
            <w:tcW w:w="879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Semana </w:t>
            </w:r>
          </w:p>
        </w:tc>
        <w:tc>
          <w:tcPr>
            <w:tcW w:w="3455" w:type="dxa"/>
            <w:shd w:val="clear" w:color="auto" w:fill="FFF2CC" w:themeFill="accent4" w:themeFillTint="33"/>
          </w:tcPr>
          <w:p w:rsidR="006941D2" w:rsidRPr="006941D2" w:rsidRDefault="007A77C9" w:rsidP="006941D2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31</w:t>
            </w:r>
          </w:p>
        </w:tc>
      </w:tr>
      <w:tr w:rsidR="006941D2" w:rsidRPr="006941D2" w:rsidTr="002E76A3">
        <w:trPr>
          <w:trHeight w:val="310"/>
        </w:trPr>
        <w:tc>
          <w:tcPr>
            <w:tcW w:w="1441" w:type="dxa"/>
            <w:vMerge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Grupos </w:t>
            </w:r>
          </w:p>
        </w:tc>
        <w:tc>
          <w:tcPr>
            <w:tcW w:w="137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>D y E</w:t>
            </w:r>
          </w:p>
        </w:tc>
        <w:tc>
          <w:tcPr>
            <w:tcW w:w="1271" w:type="dxa"/>
            <w:vMerge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521" w:type="dxa"/>
            <w:vMerge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879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Fecha </w:t>
            </w:r>
          </w:p>
        </w:tc>
        <w:tc>
          <w:tcPr>
            <w:tcW w:w="3455" w:type="dxa"/>
            <w:shd w:val="clear" w:color="auto" w:fill="FFF2CC" w:themeFill="accent4" w:themeFillTint="33"/>
          </w:tcPr>
          <w:p w:rsidR="006941D2" w:rsidRPr="006941D2" w:rsidRDefault="007A77C9" w:rsidP="00727A73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26-30 d</w:t>
            </w:r>
            <w:r w:rsidR="00727A73">
              <w:rPr>
                <w:rFonts w:cstheme="minorHAnsi"/>
                <w:sz w:val="20"/>
                <w:szCs w:val="18"/>
              </w:rPr>
              <w:t>e abril</w:t>
            </w:r>
            <w:r w:rsidR="00761F4A">
              <w:rPr>
                <w:rFonts w:cstheme="minorHAnsi"/>
                <w:sz w:val="20"/>
                <w:szCs w:val="18"/>
              </w:rPr>
              <w:t xml:space="preserve"> </w:t>
            </w:r>
            <w:r w:rsidR="006941D2" w:rsidRPr="006941D2">
              <w:rPr>
                <w:rFonts w:cstheme="minorHAnsi"/>
                <w:sz w:val="20"/>
                <w:szCs w:val="18"/>
              </w:rPr>
              <w:t>2021</w:t>
            </w:r>
          </w:p>
        </w:tc>
      </w:tr>
      <w:tr w:rsidR="006941D2" w:rsidRPr="006941D2" w:rsidTr="002E76A3">
        <w:trPr>
          <w:trHeight w:val="174"/>
        </w:trPr>
        <w:tc>
          <w:tcPr>
            <w:tcW w:w="1441" w:type="dxa"/>
            <w:shd w:val="clear" w:color="auto" w:fill="FFF2CC" w:themeFill="accent4" w:themeFillTint="33"/>
          </w:tcPr>
          <w:p w:rsidR="006941D2" w:rsidRPr="009815D8" w:rsidRDefault="006941D2" w:rsidP="006941D2">
            <w:pPr>
              <w:rPr>
                <w:rFonts w:cstheme="minorHAnsi"/>
                <w:b/>
                <w:szCs w:val="18"/>
              </w:rPr>
            </w:pPr>
            <w:r w:rsidRPr="009815D8">
              <w:rPr>
                <w:rFonts w:cstheme="minorHAnsi"/>
                <w:b/>
                <w:szCs w:val="18"/>
              </w:rPr>
              <w:t xml:space="preserve">Tema </w:t>
            </w:r>
          </w:p>
        </w:tc>
        <w:tc>
          <w:tcPr>
            <w:tcW w:w="9616" w:type="dxa"/>
            <w:gridSpan w:val="6"/>
            <w:shd w:val="clear" w:color="auto" w:fill="FFF2CC" w:themeFill="accent4" w:themeFillTint="33"/>
          </w:tcPr>
          <w:p w:rsidR="006941D2" w:rsidRPr="009815D8" w:rsidRDefault="00825F52" w:rsidP="006941D2">
            <w:pPr>
              <w:jc w:val="both"/>
              <w:rPr>
                <w:rFonts w:cstheme="minorHAnsi"/>
                <w:spacing w:val="3"/>
                <w:szCs w:val="18"/>
              </w:rPr>
            </w:pPr>
            <w:r>
              <w:rPr>
                <w:rFonts w:cstheme="minorHAnsi"/>
                <w:spacing w:val="3"/>
                <w:szCs w:val="18"/>
              </w:rPr>
              <w:t>Sustentabilidad</w:t>
            </w:r>
          </w:p>
        </w:tc>
      </w:tr>
      <w:tr w:rsidR="006941D2" w:rsidRPr="006941D2" w:rsidTr="002E76A3">
        <w:trPr>
          <w:trHeight w:val="174"/>
        </w:trPr>
        <w:tc>
          <w:tcPr>
            <w:tcW w:w="1441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Aprendizaje esperado </w:t>
            </w:r>
          </w:p>
        </w:tc>
        <w:tc>
          <w:tcPr>
            <w:tcW w:w="9616" w:type="dxa"/>
            <w:gridSpan w:val="6"/>
            <w:shd w:val="clear" w:color="auto" w:fill="FFF2CC" w:themeFill="accent4" w:themeFillTint="33"/>
          </w:tcPr>
          <w:p w:rsidR="006941D2" w:rsidRPr="009F3ED3" w:rsidRDefault="00825F52" w:rsidP="00825F52">
            <w:pPr>
              <w:jc w:val="both"/>
              <w:rPr>
                <w:rFonts w:cstheme="minorHAnsi"/>
                <w:sz w:val="20"/>
                <w:szCs w:val="18"/>
              </w:rPr>
            </w:pPr>
            <w:r>
              <w:t>Argumenta la importancia del consumo responsable, el uso de las tecnologías limpias y los servicios ambientales para contribuir a la sustentabilidad.</w:t>
            </w:r>
          </w:p>
        </w:tc>
      </w:tr>
      <w:tr w:rsidR="006941D2" w:rsidRPr="006941D2" w:rsidTr="00077652">
        <w:trPr>
          <w:trHeight w:val="3201"/>
        </w:trPr>
        <w:tc>
          <w:tcPr>
            <w:tcW w:w="11057" w:type="dxa"/>
            <w:gridSpan w:val="7"/>
            <w:shd w:val="clear" w:color="auto" w:fill="auto"/>
          </w:tcPr>
          <w:p w:rsidR="004A10F8" w:rsidRDefault="00825F52" w:rsidP="006941D2">
            <w:pPr>
              <w:jc w:val="both"/>
              <w:rPr>
                <w:b/>
              </w:rPr>
            </w:pPr>
            <w:r>
              <w:rPr>
                <w:b/>
              </w:rPr>
              <w:t>Hola queridos alumnos con esta semana damos cierre al mes de abril</w:t>
            </w:r>
            <w:r w:rsidR="004A10F8">
              <w:rPr>
                <w:b/>
              </w:rPr>
              <w:t xml:space="preserve"> y cada vez estamos más cerca de concluir el trimestre y el ciclo escolar por lo que te invito a no bajar tu ritmo de trabajo y ponerte al corriente a la brevedad de ser necesario</w:t>
            </w:r>
            <w:r>
              <w:rPr>
                <w:b/>
              </w:rPr>
              <w:t xml:space="preserve">. </w:t>
            </w:r>
          </w:p>
          <w:p w:rsidR="007263ED" w:rsidRDefault="007263ED" w:rsidP="006941D2">
            <w:pPr>
              <w:jc w:val="both"/>
              <w:rPr>
                <w:b/>
              </w:rPr>
            </w:pPr>
            <w:r>
              <w:rPr>
                <w:b/>
              </w:rPr>
              <w:t>Los programas que se proyectarán esta semana son:</w:t>
            </w:r>
          </w:p>
          <w:p w:rsidR="00892C72" w:rsidRDefault="00892C72" w:rsidP="00761F4A">
            <w:pPr>
              <w:jc w:val="both"/>
              <w:rPr>
                <w:b/>
              </w:rPr>
            </w:pPr>
          </w:p>
          <w:p w:rsidR="003679D2" w:rsidRDefault="00892C72" w:rsidP="00727A73">
            <w:pPr>
              <w:jc w:val="both"/>
            </w:pPr>
            <w:r>
              <w:rPr>
                <w:b/>
              </w:rPr>
              <w:t>Lunes</w:t>
            </w:r>
            <w:r w:rsidR="007A77C9">
              <w:rPr>
                <w:b/>
              </w:rPr>
              <w:t xml:space="preserve"> 26</w:t>
            </w:r>
            <w:r w:rsidR="00394F24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825F52">
              <w:t>El desarrollo sustentable</w:t>
            </w:r>
          </w:p>
          <w:p w:rsidR="00761F4A" w:rsidRDefault="003679D2" w:rsidP="00727A73">
            <w:pPr>
              <w:jc w:val="both"/>
            </w:pPr>
            <w:r>
              <w:t xml:space="preserve">Énfasis: </w:t>
            </w:r>
            <w:r w:rsidR="00825F52">
              <w:t>Relacionar el desarrollo sustentable con la mejora en la calidad de vida y la conservación del medio ambiente.</w:t>
            </w:r>
          </w:p>
          <w:p w:rsidR="003679D2" w:rsidRDefault="003679D2" w:rsidP="00727A73">
            <w:pPr>
              <w:jc w:val="both"/>
              <w:rPr>
                <w:rFonts w:cstheme="minorHAnsi"/>
                <w:b/>
                <w:spacing w:val="3"/>
                <w:szCs w:val="18"/>
              </w:rPr>
            </w:pPr>
          </w:p>
          <w:p w:rsidR="003679D2" w:rsidRDefault="00597ED0" w:rsidP="00727A73">
            <w:pPr>
              <w:jc w:val="both"/>
            </w:pPr>
            <w:r w:rsidRPr="00597ED0">
              <w:rPr>
                <w:rFonts w:cstheme="minorHAnsi"/>
                <w:b/>
                <w:spacing w:val="3"/>
                <w:szCs w:val="18"/>
              </w:rPr>
              <w:t>Miércoles</w:t>
            </w:r>
            <w:r w:rsidR="007A77C9">
              <w:rPr>
                <w:rFonts w:cstheme="minorHAnsi"/>
                <w:b/>
                <w:spacing w:val="3"/>
                <w:szCs w:val="18"/>
              </w:rPr>
              <w:t xml:space="preserve"> 28</w:t>
            </w:r>
            <w:r w:rsidR="00394F24">
              <w:rPr>
                <w:rFonts w:cstheme="minorHAnsi"/>
                <w:b/>
                <w:spacing w:val="3"/>
                <w:szCs w:val="18"/>
              </w:rPr>
              <w:t>.</w:t>
            </w:r>
            <w:r w:rsidR="003679D2">
              <w:rPr>
                <w:rFonts w:cstheme="minorHAnsi"/>
                <w:b/>
                <w:spacing w:val="3"/>
                <w:szCs w:val="18"/>
              </w:rPr>
              <w:t xml:space="preserve"> </w:t>
            </w:r>
            <w:r w:rsidR="007A77C9">
              <w:t>El consumo responsable</w:t>
            </w:r>
          </w:p>
          <w:p w:rsidR="003679D2" w:rsidRDefault="003679D2" w:rsidP="006941D2">
            <w:pPr>
              <w:jc w:val="both"/>
            </w:pPr>
            <w:r>
              <w:t xml:space="preserve">Énfasis: </w:t>
            </w:r>
            <w:r w:rsidR="00825F52">
              <w:t xml:space="preserve">Aplicar acciones de la vida cotidiana que contribuyan al consumo responsable. </w:t>
            </w:r>
          </w:p>
          <w:p w:rsidR="00825F52" w:rsidRDefault="00825F52" w:rsidP="006941D2">
            <w:pPr>
              <w:jc w:val="both"/>
            </w:pPr>
          </w:p>
          <w:p w:rsidR="00825F52" w:rsidRDefault="00597ED0" w:rsidP="00727A73">
            <w:pPr>
              <w:jc w:val="both"/>
              <w:rPr>
                <w:rFonts w:cstheme="minorHAnsi"/>
                <w:b/>
                <w:spacing w:val="3"/>
                <w:szCs w:val="18"/>
              </w:rPr>
            </w:pPr>
            <w:r w:rsidRPr="00597ED0">
              <w:rPr>
                <w:rFonts w:cstheme="minorHAnsi"/>
                <w:b/>
                <w:spacing w:val="3"/>
                <w:szCs w:val="18"/>
              </w:rPr>
              <w:t>Viernes</w:t>
            </w:r>
            <w:r w:rsidR="007A77C9">
              <w:rPr>
                <w:rFonts w:cstheme="minorHAnsi"/>
                <w:b/>
                <w:spacing w:val="3"/>
                <w:szCs w:val="18"/>
              </w:rPr>
              <w:t xml:space="preserve"> </w:t>
            </w:r>
            <w:r w:rsidR="00394F24">
              <w:rPr>
                <w:rFonts w:cstheme="minorHAnsi"/>
                <w:b/>
                <w:spacing w:val="3"/>
                <w:szCs w:val="18"/>
              </w:rPr>
              <w:t>3</w:t>
            </w:r>
            <w:r w:rsidR="007A77C9">
              <w:rPr>
                <w:rFonts w:cstheme="minorHAnsi"/>
                <w:b/>
                <w:spacing w:val="3"/>
                <w:szCs w:val="18"/>
              </w:rPr>
              <w:t>0</w:t>
            </w:r>
            <w:r w:rsidR="00394F24">
              <w:rPr>
                <w:rFonts w:cstheme="minorHAnsi"/>
                <w:b/>
                <w:spacing w:val="3"/>
                <w:szCs w:val="18"/>
              </w:rPr>
              <w:t>.</w:t>
            </w:r>
            <w:r w:rsidRPr="00597ED0">
              <w:rPr>
                <w:rFonts w:cstheme="minorHAnsi"/>
                <w:b/>
                <w:spacing w:val="3"/>
                <w:szCs w:val="18"/>
              </w:rPr>
              <w:t xml:space="preserve"> </w:t>
            </w:r>
            <w:r w:rsidR="00825F52">
              <w:t>Los servicios ambientales</w:t>
            </w:r>
          </w:p>
          <w:p w:rsidR="003679D2" w:rsidRDefault="003679D2" w:rsidP="00727A73">
            <w:pPr>
              <w:jc w:val="both"/>
            </w:pPr>
            <w:r>
              <w:t>Énfasis:</w:t>
            </w:r>
            <w:r w:rsidR="00825F52">
              <w:t xml:space="preserve"> Explicar la relevancia de los servicios ambientales en la conservación del medio ambiente.</w:t>
            </w:r>
          </w:p>
          <w:p w:rsidR="00892C72" w:rsidRDefault="00892C72" w:rsidP="006941D2">
            <w:pPr>
              <w:jc w:val="both"/>
            </w:pPr>
          </w:p>
          <w:p w:rsidR="00A408B4" w:rsidRDefault="00892C72" w:rsidP="006941D2">
            <w:pPr>
              <w:jc w:val="both"/>
            </w:pPr>
            <w:r w:rsidRPr="00C02BDD">
              <w:rPr>
                <w:b/>
              </w:rPr>
              <w:t>Actividad.</w:t>
            </w:r>
            <w:r w:rsidR="00C02BDD">
              <w:t xml:space="preserve"> </w:t>
            </w:r>
            <w:r w:rsidR="00825F52">
              <w:t xml:space="preserve">Para esta semana te pediré que realices un cartel del tema </w:t>
            </w:r>
            <w:r w:rsidR="00A408B4">
              <w:t>del lunes sobre El desarrollo sustentable</w:t>
            </w:r>
            <w:r w:rsidR="00825F52">
              <w:t>, recuerda que</w:t>
            </w:r>
            <w:r w:rsidR="00C02BDD">
              <w:t xml:space="preserve"> tu libro también </w:t>
            </w:r>
            <w:r w:rsidR="00A408B4">
              <w:t xml:space="preserve">contiene información. Tu cartel debe contener información relevante del tema, ejemplos, imágenes y su lo consideras pertinente, mapas. </w:t>
            </w:r>
          </w:p>
          <w:p w:rsidR="00892C72" w:rsidRDefault="00A408B4" w:rsidP="006941D2">
            <w:pPr>
              <w:jc w:val="both"/>
            </w:pPr>
            <w:r>
              <w:t>El tamaño debe de ser de 1 o 2 hojas tamaño carta como máximo y puedes hacerlo a mano (en tu cuaderno) o en digital. El cartel debe ser visualmente atractivo y contener información interesante</w:t>
            </w:r>
            <w:r w:rsidR="004A10F8">
              <w:t xml:space="preserve"> </w:t>
            </w:r>
            <w:r w:rsidR="004A10F8" w:rsidRPr="004A10F8">
              <w:rPr>
                <w:b/>
              </w:rPr>
              <w:t>obtenida del programa y del libro</w:t>
            </w:r>
            <w:r>
              <w:t xml:space="preserve">.    </w:t>
            </w:r>
            <w:r w:rsidR="00C02BDD">
              <w:t xml:space="preserve"> </w:t>
            </w:r>
            <w:r w:rsidR="00825F52">
              <w:t xml:space="preserve"> </w:t>
            </w:r>
          </w:p>
          <w:p w:rsidR="00A408B4" w:rsidRDefault="00A408B4" w:rsidP="006941D2">
            <w:pPr>
              <w:jc w:val="both"/>
            </w:pPr>
          </w:p>
          <w:p w:rsidR="00A04718" w:rsidRPr="006941D2" w:rsidRDefault="001614AC" w:rsidP="00A408B4">
            <w:pPr>
              <w:jc w:val="both"/>
              <w:rPr>
                <w:rFonts w:cstheme="minorHAnsi"/>
                <w:spacing w:val="3"/>
                <w:sz w:val="20"/>
                <w:szCs w:val="18"/>
              </w:rPr>
            </w:pPr>
            <w:r>
              <w:rPr>
                <w:rFonts w:cstheme="minorHAnsi"/>
                <w:b/>
                <w:color w:val="FF0000"/>
                <w:spacing w:val="3"/>
                <w:szCs w:val="18"/>
              </w:rPr>
              <w:t>Fecha de entrega:</w:t>
            </w:r>
            <w:r w:rsidR="008A3A00">
              <w:rPr>
                <w:rFonts w:cstheme="minorHAnsi"/>
                <w:b/>
                <w:color w:val="FF0000"/>
                <w:spacing w:val="3"/>
                <w:szCs w:val="18"/>
              </w:rPr>
              <w:t xml:space="preserve"> </w:t>
            </w:r>
            <w:r w:rsidR="00E42034">
              <w:rPr>
                <w:rFonts w:cstheme="minorHAnsi"/>
                <w:b/>
                <w:color w:val="FF0000"/>
                <w:spacing w:val="3"/>
                <w:szCs w:val="18"/>
              </w:rPr>
              <w:t xml:space="preserve"> </w:t>
            </w:r>
            <w:r w:rsidR="00A408B4">
              <w:rPr>
                <w:rFonts w:cstheme="minorHAnsi"/>
                <w:b/>
                <w:color w:val="FF0000"/>
                <w:spacing w:val="3"/>
                <w:szCs w:val="18"/>
              </w:rPr>
              <w:t>Viernes 30 d</w:t>
            </w:r>
            <w:r w:rsidR="007D63EC">
              <w:rPr>
                <w:rFonts w:cstheme="minorHAnsi"/>
                <w:b/>
                <w:color w:val="FF0000"/>
                <w:spacing w:val="3"/>
                <w:szCs w:val="18"/>
              </w:rPr>
              <w:t xml:space="preserve">e abril </w:t>
            </w:r>
            <w:r w:rsidR="00892C72">
              <w:rPr>
                <w:rFonts w:cstheme="minorHAnsi"/>
                <w:b/>
                <w:color w:val="FF0000"/>
                <w:spacing w:val="3"/>
                <w:szCs w:val="18"/>
              </w:rPr>
              <w:t>de 2021.</w:t>
            </w:r>
            <w:bookmarkStart w:id="0" w:name="_GoBack"/>
            <w:bookmarkEnd w:id="0"/>
          </w:p>
        </w:tc>
      </w:tr>
    </w:tbl>
    <w:p w:rsidR="002F21B8" w:rsidRDefault="002F21B8"/>
    <w:sectPr w:rsidR="002F21B8" w:rsidSect="006941D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59D" w:rsidRDefault="009E459D" w:rsidP="001A3A48">
      <w:pPr>
        <w:spacing w:after="0" w:line="240" w:lineRule="auto"/>
      </w:pPr>
      <w:r>
        <w:separator/>
      </w:r>
    </w:p>
  </w:endnote>
  <w:endnote w:type="continuationSeparator" w:id="0">
    <w:p w:rsidR="009E459D" w:rsidRDefault="009E459D" w:rsidP="001A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59D" w:rsidRDefault="009E459D" w:rsidP="001A3A48">
      <w:pPr>
        <w:spacing w:after="0" w:line="240" w:lineRule="auto"/>
      </w:pPr>
      <w:r>
        <w:separator/>
      </w:r>
    </w:p>
  </w:footnote>
  <w:footnote w:type="continuationSeparator" w:id="0">
    <w:p w:rsidR="009E459D" w:rsidRDefault="009E459D" w:rsidP="001A3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4022"/>
    <w:multiLevelType w:val="hybridMultilevel"/>
    <w:tmpl w:val="35FA4956"/>
    <w:lvl w:ilvl="0" w:tplc="80D4B96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819B5"/>
    <w:multiLevelType w:val="hybridMultilevel"/>
    <w:tmpl w:val="77C659F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34A45"/>
    <w:multiLevelType w:val="hybridMultilevel"/>
    <w:tmpl w:val="9E8CCBA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443FA"/>
    <w:multiLevelType w:val="hybridMultilevel"/>
    <w:tmpl w:val="8166841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B74B8"/>
    <w:multiLevelType w:val="hybridMultilevel"/>
    <w:tmpl w:val="42A8746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C3F33"/>
    <w:multiLevelType w:val="hybridMultilevel"/>
    <w:tmpl w:val="0D0CF1B0"/>
    <w:lvl w:ilvl="0" w:tplc="E0FE2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D2"/>
    <w:rsid w:val="00086BBC"/>
    <w:rsid w:val="000B4269"/>
    <w:rsid w:val="000D779E"/>
    <w:rsid w:val="000F04BB"/>
    <w:rsid w:val="00105285"/>
    <w:rsid w:val="00146E4C"/>
    <w:rsid w:val="001614AC"/>
    <w:rsid w:val="001A3A48"/>
    <w:rsid w:val="001C5C74"/>
    <w:rsid w:val="002B6D67"/>
    <w:rsid w:val="002D3636"/>
    <w:rsid w:val="002E76A3"/>
    <w:rsid w:val="002F21B8"/>
    <w:rsid w:val="003679D2"/>
    <w:rsid w:val="00394F24"/>
    <w:rsid w:val="003D391C"/>
    <w:rsid w:val="004A10F8"/>
    <w:rsid w:val="004A55DC"/>
    <w:rsid w:val="004B1E06"/>
    <w:rsid w:val="004F2F00"/>
    <w:rsid w:val="005108FF"/>
    <w:rsid w:val="0051267F"/>
    <w:rsid w:val="00513EB7"/>
    <w:rsid w:val="0054649C"/>
    <w:rsid w:val="0057391E"/>
    <w:rsid w:val="00597ED0"/>
    <w:rsid w:val="005F43EA"/>
    <w:rsid w:val="00672F63"/>
    <w:rsid w:val="006941D2"/>
    <w:rsid w:val="0072288B"/>
    <w:rsid w:val="007263ED"/>
    <w:rsid w:val="00727A73"/>
    <w:rsid w:val="00733B17"/>
    <w:rsid w:val="00761F4A"/>
    <w:rsid w:val="007A77C9"/>
    <w:rsid w:val="007D564A"/>
    <w:rsid w:val="007D63EC"/>
    <w:rsid w:val="008168EF"/>
    <w:rsid w:val="00825F52"/>
    <w:rsid w:val="00826C0B"/>
    <w:rsid w:val="00852DDD"/>
    <w:rsid w:val="00884B73"/>
    <w:rsid w:val="00892C72"/>
    <w:rsid w:val="008A3A00"/>
    <w:rsid w:val="00913523"/>
    <w:rsid w:val="009815D8"/>
    <w:rsid w:val="009838BD"/>
    <w:rsid w:val="009945D7"/>
    <w:rsid w:val="009E459D"/>
    <w:rsid w:val="009F3ED3"/>
    <w:rsid w:val="00A04718"/>
    <w:rsid w:val="00A408B4"/>
    <w:rsid w:val="00A70DD9"/>
    <w:rsid w:val="00AC7447"/>
    <w:rsid w:val="00AF263E"/>
    <w:rsid w:val="00B108F6"/>
    <w:rsid w:val="00B11C12"/>
    <w:rsid w:val="00BE585D"/>
    <w:rsid w:val="00C02BDD"/>
    <w:rsid w:val="00CC6DD3"/>
    <w:rsid w:val="00D131FB"/>
    <w:rsid w:val="00D467CB"/>
    <w:rsid w:val="00D5586F"/>
    <w:rsid w:val="00D90CCA"/>
    <w:rsid w:val="00E1773A"/>
    <w:rsid w:val="00E42034"/>
    <w:rsid w:val="00E60171"/>
    <w:rsid w:val="00E81856"/>
    <w:rsid w:val="00E921BE"/>
    <w:rsid w:val="00ED32FD"/>
    <w:rsid w:val="00F23D48"/>
    <w:rsid w:val="00F547D5"/>
    <w:rsid w:val="00F821F0"/>
    <w:rsid w:val="00FD0C3D"/>
    <w:rsid w:val="00FF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BEF0B"/>
  <w15:chartTrackingRefBased/>
  <w15:docId w15:val="{AD573B4C-6E25-40AD-A7E5-57461B89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3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A48"/>
  </w:style>
  <w:style w:type="paragraph" w:styleId="Piedepgina">
    <w:name w:val="footer"/>
    <w:basedOn w:val="Normal"/>
    <w:link w:val="PiedepginaCar"/>
    <w:uiPriority w:val="99"/>
    <w:unhideWhenUsed/>
    <w:rsid w:val="001A3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A48"/>
  </w:style>
  <w:style w:type="character" w:styleId="Hipervnculo">
    <w:name w:val="Hyperlink"/>
    <w:basedOn w:val="Fuentedeprrafopredeter"/>
    <w:uiPriority w:val="99"/>
    <w:unhideWhenUsed/>
    <w:rsid w:val="00A047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131FB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82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martínez</dc:creator>
  <cp:keywords/>
  <dc:description/>
  <cp:lastModifiedBy>elizabeth martínez</cp:lastModifiedBy>
  <cp:revision>30</cp:revision>
  <dcterms:created xsi:type="dcterms:W3CDTF">2021-01-01T21:36:00Z</dcterms:created>
  <dcterms:modified xsi:type="dcterms:W3CDTF">2021-04-23T16:58:00Z</dcterms:modified>
</cp:coreProperties>
</file>